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EE277" w14:textId="77777777" w:rsidR="00A1097C" w:rsidRDefault="00A1097C" w:rsidP="00A1097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#125-bis</w:t>
      </w:r>
      <w:r>
        <w:rPr>
          <w:b/>
          <w:i/>
          <w:noProof/>
          <w:sz w:val="28"/>
        </w:rPr>
        <w:tab/>
      </w:r>
      <w:r>
        <w:rPr>
          <w:b/>
          <w:i/>
          <w:noProof/>
          <w:sz w:val="28"/>
        </w:rPr>
        <w:tab/>
      </w:r>
      <w:r>
        <w:rPr>
          <w:b/>
          <w:i/>
          <w:noProof/>
          <w:sz w:val="28"/>
        </w:rPr>
        <w:tab/>
      </w:r>
      <w:r>
        <w:rPr>
          <w:b/>
          <w:i/>
          <w:noProof/>
          <w:sz w:val="28"/>
        </w:rPr>
        <w:tab/>
      </w:r>
      <w:r>
        <w:rPr>
          <w:b/>
          <w:i/>
          <w:noProof/>
          <w:sz w:val="28"/>
        </w:rPr>
        <w:tab/>
      </w:r>
      <w:fldSimple w:instr=" DOCPROPERTY  Tdoc#  \* MERGEFORMAT ">
        <w:r w:rsidRPr="00CB2747">
          <w:rPr>
            <w:b/>
            <w:noProof/>
            <w:sz w:val="28"/>
          </w:rPr>
          <w:t>R2</w:t>
        </w:r>
        <w:r>
          <w:t>-</w:t>
        </w:r>
        <w:r w:rsidRPr="00CB2747">
          <w:rPr>
            <w:b/>
            <w:noProof/>
            <w:sz w:val="28"/>
          </w:rPr>
          <w:t>240363</w:t>
        </w:r>
        <w:r>
          <w:rPr>
            <w:b/>
            <w:noProof/>
            <w:sz w:val="28"/>
          </w:rPr>
          <w:t>3</w:t>
        </w:r>
      </w:fldSimple>
    </w:p>
    <w:p w14:paraId="5352C240" w14:textId="77777777" w:rsidR="00A1097C" w:rsidRDefault="00A1097C" w:rsidP="00A1097C">
      <w:pPr>
        <w:pStyle w:val="CRCoverPage"/>
        <w:outlineLvl w:val="0"/>
        <w:rPr>
          <w:b/>
          <w:noProof/>
          <w:sz w:val="24"/>
        </w:rPr>
      </w:pPr>
      <w:bookmarkStart w:id="0" w:name="_Hlk124761912"/>
      <w:r w:rsidRPr="00BC2062">
        <w:rPr>
          <w:b/>
          <w:bCs/>
          <w:sz w:val="24"/>
          <w:szCs w:val="22"/>
        </w:rPr>
        <w:t>Changsha, China, April 15 – 19, 2024</w:t>
      </w:r>
    </w:p>
    <w:bookmarkEnd w:id="0"/>
    <w:p w14:paraId="28F2F4FB" w14:textId="77777777" w:rsidR="00A1097C" w:rsidRDefault="00A1097C" w:rsidP="00A1097C">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val="en-GB" w:eastAsia="zh-CN"/>
        </w:rPr>
      </w:pPr>
    </w:p>
    <w:p w14:paraId="0BAD11F6" w14:textId="77777777" w:rsidR="00A1097C" w:rsidRDefault="00A1097C" w:rsidP="00A1097C">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US" w:eastAsia="zh-CN"/>
        </w:rPr>
      </w:pPr>
      <w:r>
        <w:rPr>
          <w:rFonts w:ascii="Arial" w:eastAsia="Times New Roman" w:hAnsi="Arial" w:cs="Times New Roman"/>
          <w:b/>
          <w:sz w:val="22"/>
          <w:szCs w:val="22"/>
          <w:lang w:val="en-US" w:eastAsia="zh-CN"/>
        </w:rPr>
        <w:t>Agenda Item:</w:t>
      </w:r>
      <w:r>
        <w:rPr>
          <w:rFonts w:ascii="Arial" w:eastAsia="Times New Roman" w:hAnsi="Arial" w:cs="Times New Roman"/>
          <w:b/>
          <w:sz w:val="22"/>
          <w:szCs w:val="22"/>
          <w:lang w:val="en-US" w:eastAsia="zh-CN"/>
        </w:rPr>
        <w:tab/>
      </w:r>
      <w:r w:rsidRPr="000656A3">
        <w:rPr>
          <w:rFonts w:ascii="Arial" w:eastAsia="Times New Roman" w:hAnsi="Arial" w:cs="Times New Roman"/>
          <w:b/>
          <w:sz w:val="22"/>
          <w:szCs w:val="22"/>
          <w:lang w:val="en-US" w:eastAsia="zh-CN"/>
        </w:rPr>
        <w:t>7.7.1</w:t>
      </w:r>
    </w:p>
    <w:p w14:paraId="0996B681" w14:textId="77777777" w:rsidR="00A1097C" w:rsidRDefault="00A1097C" w:rsidP="00A1097C">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Source:</w:t>
      </w:r>
      <w:r>
        <w:rPr>
          <w:rFonts w:ascii="Arial" w:eastAsia="Times New Roman" w:hAnsi="Arial" w:cs="Times New Roman"/>
          <w:b/>
          <w:sz w:val="22"/>
          <w:szCs w:val="22"/>
          <w:lang w:val="en-GB" w:eastAsia="zh-CN"/>
        </w:rPr>
        <w:tab/>
        <w:t>Ericsson</w:t>
      </w:r>
    </w:p>
    <w:p w14:paraId="75E425D0" w14:textId="77777777" w:rsidR="00A1097C" w:rsidRDefault="00A1097C" w:rsidP="00A1097C">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Title:</w:t>
      </w:r>
      <w:r>
        <w:rPr>
          <w:rFonts w:ascii="Arial" w:eastAsia="Times New Roman" w:hAnsi="Arial" w:cs="Times New Roman"/>
          <w:b/>
          <w:sz w:val="22"/>
          <w:szCs w:val="22"/>
          <w:lang w:val="en-GB" w:eastAsia="zh-CN"/>
        </w:rPr>
        <w:tab/>
      </w:r>
      <w:r w:rsidRPr="000656A3">
        <w:rPr>
          <w:rFonts w:ascii="Arial" w:eastAsia="Times New Roman" w:hAnsi="Arial" w:cs="Times New Roman"/>
          <w:b/>
          <w:sz w:val="22"/>
          <w:szCs w:val="22"/>
          <w:lang w:val="en-GB" w:eastAsia="zh-CN"/>
        </w:rPr>
        <w:t>Rapporteur input R18 NR NTN RRC RIL</w:t>
      </w:r>
    </w:p>
    <w:p w14:paraId="4C8B8A2F" w14:textId="77777777" w:rsidR="00A1097C" w:rsidRDefault="00A1097C" w:rsidP="00A1097C">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Document for:</w:t>
      </w:r>
      <w:r>
        <w:rPr>
          <w:rFonts w:ascii="Arial" w:eastAsia="Times New Roman" w:hAnsi="Arial" w:cs="Times New Roman"/>
          <w:b/>
          <w:sz w:val="22"/>
          <w:szCs w:val="22"/>
          <w:lang w:val="en-GB" w:eastAsia="zh-CN"/>
        </w:rPr>
        <w:tab/>
        <w:t xml:space="preserve"> Decision</w:t>
      </w:r>
    </w:p>
    <w:p w14:paraId="2040FD06" w14:textId="77777777" w:rsidR="00A1097C" w:rsidRDefault="00A1097C" w:rsidP="00A1097C">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7837A1BF" w14:textId="77777777" w:rsidR="00A1097C" w:rsidRDefault="00A1097C" w:rsidP="00A1097C">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ab/>
        <w:t>Introduction</w:t>
      </w:r>
    </w:p>
    <w:p w14:paraId="09452309" w14:textId="77777777" w:rsidR="00A1097C" w:rsidRDefault="00A1097C" w:rsidP="00A1097C">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In this contribution, a list of RILs for the NR NTN enhancements work item with relating conclusion and comment is provided.</w:t>
      </w:r>
    </w:p>
    <w:p w14:paraId="3C5DD37B" w14:textId="77777777" w:rsidR="00A1097C" w:rsidRDefault="00A1097C" w:rsidP="00A1097C">
      <w:pPr>
        <w:pStyle w:val="Heading1"/>
      </w:pPr>
      <w:bookmarkStart w:id="1" w:name="_Ref178064866"/>
      <w:r>
        <w:t>2</w:t>
      </w:r>
      <w:r>
        <w:tab/>
        <w:t>Discussion</w:t>
      </w:r>
      <w:bookmarkEnd w:id="1"/>
    </w:p>
    <w:tbl>
      <w:tblPr>
        <w:tblStyle w:val="TableGrid"/>
        <w:tblW w:w="0" w:type="auto"/>
        <w:tblLook w:val="04A0" w:firstRow="1" w:lastRow="0" w:firstColumn="1" w:lastColumn="0" w:noHBand="0" w:noVBand="1"/>
      </w:tblPr>
      <w:tblGrid>
        <w:gridCol w:w="802"/>
        <w:gridCol w:w="1163"/>
        <w:gridCol w:w="951"/>
        <w:gridCol w:w="622"/>
        <w:gridCol w:w="1762"/>
        <w:gridCol w:w="1593"/>
        <w:gridCol w:w="2438"/>
        <w:gridCol w:w="4617"/>
      </w:tblGrid>
      <w:tr w:rsidR="00A1097C" w:rsidRPr="00CB4A1C" w14:paraId="78F7CCED" w14:textId="77777777" w:rsidTr="00E736AB">
        <w:trPr>
          <w:trHeight w:val="600"/>
        </w:trPr>
        <w:tc>
          <w:tcPr>
            <w:tcW w:w="988" w:type="dxa"/>
            <w:noWrap/>
            <w:hideMark/>
          </w:tcPr>
          <w:p w14:paraId="7686ECE6" w14:textId="77777777" w:rsidR="00A1097C" w:rsidRPr="00CB4A1C" w:rsidRDefault="00A1097C" w:rsidP="00E736AB">
            <w:pPr>
              <w:rPr>
                <w:rFonts w:ascii="Arial" w:hAnsi="Arial" w:cs="Arial"/>
                <w:b/>
                <w:bCs/>
                <w:sz w:val="20"/>
                <w:szCs w:val="20"/>
                <w:lang w:val="en-SE" w:eastAsia="ja-JP"/>
              </w:rPr>
            </w:pPr>
            <w:r w:rsidRPr="00CB4A1C">
              <w:rPr>
                <w:rFonts w:ascii="Arial" w:hAnsi="Arial" w:cs="Arial"/>
                <w:b/>
                <w:bCs/>
                <w:sz w:val="20"/>
                <w:szCs w:val="20"/>
                <w:lang w:eastAsia="ja-JP"/>
              </w:rPr>
              <w:t>ID</w:t>
            </w:r>
          </w:p>
        </w:tc>
        <w:tc>
          <w:tcPr>
            <w:tcW w:w="1263" w:type="dxa"/>
            <w:noWrap/>
            <w:hideMark/>
          </w:tcPr>
          <w:p w14:paraId="313B1DE1"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Delegate</w:t>
            </w:r>
          </w:p>
        </w:tc>
        <w:tc>
          <w:tcPr>
            <w:tcW w:w="0" w:type="auto"/>
            <w:noWrap/>
            <w:hideMark/>
          </w:tcPr>
          <w:p w14:paraId="43F610FD"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Work Item</w:t>
            </w:r>
          </w:p>
        </w:tc>
        <w:tc>
          <w:tcPr>
            <w:tcW w:w="0" w:type="auto"/>
            <w:noWrap/>
            <w:hideMark/>
          </w:tcPr>
          <w:p w14:paraId="51F681FE"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Class</w:t>
            </w:r>
          </w:p>
        </w:tc>
        <w:tc>
          <w:tcPr>
            <w:tcW w:w="0" w:type="auto"/>
            <w:shd w:val="clear" w:color="auto" w:fill="C5E0B3" w:themeFill="accent6" w:themeFillTint="66"/>
            <w:noWrap/>
            <w:hideMark/>
          </w:tcPr>
          <w:p w14:paraId="78E5BD12"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Proposed conclusion</w:t>
            </w:r>
          </w:p>
        </w:tc>
        <w:tc>
          <w:tcPr>
            <w:tcW w:w="0" w:type="auto"/>
            <w:hideMark/>
          </w:tcPr>
          <w:p w14:paraId="2093468A"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Rapp comments</w:t>
            </w:r>
          </w:p>
        </w:tc>
        <w:tc>
          <w:tcPr>
            <w:tcW w:w="0" w:type="auto"/>
            <w:hideMark/>
          </w:tcPr>
          <w:p w14:paraId="4D05DE4B"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Description</w:t>
            </w:r>
          </w:p>
        </w:tc>
        <w:tc>
          <w:tcPr>
            <w:tcW w:w="0" w:type="auto"/>
            <w:hideMark/>
          </w:tcPr>
          <w:p w14:paraId="752DCBFE" w14:textId="77777777" w:rsidR="00A1097C" w:rsidRPr="00CB4A1C" w:rsidRDefault="00A1097C" w:rsidP="00E736AB">
            <w:pPr>
              <w:rPr>
                <w:rFonts w:ascii="Arial" w:hAnsi="Arial" w:cs="Arial"/>
                <w:b/>
                <w:bCs/>
                <w:sz w:val="20"/>
                <w:szCs w:val="20"/>
                <w:lang w:eastAsia="ja-JP"/>
              </w:rPr>
            </w:pPr>
            <w:r w:rsidRPr="00CB4A1C">
              <w:rPr>
                <w:rFonts w:ascii="Arial" w:hAnsi="Arial" w:cs="Arial"/>
                <w:b/>
                <w:bCs/>
                <w:sz w:val="20"/>
                <w:szCs w:val="20"/>
                <w:lang w:eastAsia="ja-JP"/>
              </w:rPr>
              <w:t>Proposed Change</w:t>
            </w:r>
          </w:p>
        </w:tc>
      </w:tr>
      <w:tr w:rsidR="00A1097C" w:rsidRPr="00CB4A1C" w14:paraId="32487DCE" w14:textId="77777777" w:rsidTr="00E736AB">
        <w:trPr>
          <w:trHeight w:val="1500"/>
        </w:trPr>
        <w:tc>
          <w:tcPr>
            <w:tcW w:w="988" w:type="dxa"/>
            <w:noWrap/>
            <w:hideMark/>
          </w:tcPr>
          <w:p w14:paraId="557D917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C650</w:t>
            </w:r>
          </w:p>
        </w:tc>
        <w:tc>
          <w:tcPr>
            <w:tcW w:w="1263" w:type="dxa"/>
            <w:noWrap/>
            <w:hideMark/>
          </w:tcPr>
          <w:p w14:paraId="4D42555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CATT (Xiao)</w:t>
            </w:r>
          </w:p>
        </w:tc>
        <w:tc>
          <w:tcPr>
            <w:tcW w:w="0" w:type="auto"/>
            <w:noWrap/>
            <w:hideMark/>
          </w:tcPr>
          <w:p w14:paraId="04D03BD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NR NTN</w:t>
            </w:r>
          </w:p>
        </w:tc>
        <w:tc>
          <w:tcPr>
            <w:tcW w:w="0" w:type="auto"/>
            <w:noWrap/>
            <w:hideMark/>
          </w:tcPr>
          <w:p w14:paraId="4394E6D9"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4268E5B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Duplicate</w:t>
            </w:r>
          </w:p>
        </w:tc>
        <w:tc>
          <w:tcPr>
            <w:tcW w:w="0" w:type="auto"/>
            <w:hideMark/>
          </w:tcPr>
          <w:p w14:paraId="4D41002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 placing of the information is an open discussion. It  can be discussed along with E252.</w:t>
            </w:r>
          </w:p>
        </w:tc>
        <w:tc>
          <w:tcPr>
            <w:tcW w:w="0" w:type="auto"/>
            <w:hideMark/>
          </w:tcPr>
          <w:p w14:paraId="51B0E41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Unclear description on the assistance information comes from.</w:t>
            </w:r>
          </w:p>
        </w:tc>
        <w:tc>
          <w:tcPr>
            <w:tcW w:w="0" w:type="auto"/>
            <w:hideMark/>
          </w:tcPr>
          <w:p w14:paraId="0A2B181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 xml:space="preserve">Currently, in the description in section 5.5.4.15a [1], for Ml1 it has been captured that the moving reference location is determined based on the information broadcast in SIB19. However the relevant information of the signalling containing such information is missing for Ml2. We propose to clarify that the epoch time and satellite ephemeris for the candidate cell refer to the </w:t>
            </w:r>
            <w:r w:rsidRPr="00CB4A1C">
              <w:rPr>
                <w:rFonts w:ascii="Arial" w:hAnsi="Arial" w:cs="Arial"/>
                <w:sz w:val="20"/>
                <w:szCs w:val="20"/>
                <w:lang w:eastAsia="ja-JP"/>
              </w:rPr>
              <w:lastRenderedPageBreak/>
              <w:t>configuration in measObjectNR. Contribution will be submitted to show the TP.</w:t>
            </w:r>
          </w:p>
        </w:tc>
      </w:tr>
      <w:tr w:rsidR="00A1097C" w:rsidRPr="00CB4A1C" w14:paraId="4D35B8E2" w14:textId="77777777" w:rsidTr="00E736AB">
        <w:trPr>
          <w:trHeight w:val="1800"/>
        </w:trPr>
        <w:tc>
          <w:tcPr>
            <w:tcW w:w="988" w:type="dxa"/>
            <w:noWrap/>
            <w:hideMark/>
          </w:tcPr>
          <w:p w14:paraId="220F11F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H116</w:t>
            </w:r>
          </w:p>
        </w:tc>
        <w:tc>
          <w:tcPr>
            <w:tcW w:w="1263" w:type="dxa"/>
            <w:noWrap/>
            <w:hideMark/>
          </w:tcPr>
          <w:p w14:paraId="373016A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(Lili)</w:t>
            </w:r>
          </w:p>
        </w:tc>
        <w:tc>
          <w:tcPr>
            <w:tcW w:w="0" w:type="auto"/>
            <w:noWrap/>
            <w:hideMark/>
          </w:tcPr>
          <w:p w14:paraId="4AE2D9A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7BC5416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596ABC7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Duplicate</w:t>
            </w:r>
          </w:p>
        </w:tc>
        <w:tc>
          <w:tcPr>
            <w:tcW w:w="0" w:type="auto"/>
            <w:hideMark/>
          </w:tcPr>
          <w:p w14:paraId="6ECC4BE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Indeed, this is a problem and requires futher discussion. Duplicate E252.</w:t>
            </w:r>
          </w:p>
        </w:tc>
        <w:tc>
          <w:tcPr>
            <w:tcW w:w="0" w:type="auto"/>
            <w:hideMark/>
          </w:tcPr>
          <w:p w14:paraId="2E88219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For eventD2 and condEventD2, MO includes a list of ephemeris information from different neighbour cells, it is unclear the reference location in reportConfig corresponds to which neighbour cell.</w:t>
            </w:r>
          </w:p>
        </w:tc>
        <w:tc>
          <w:tcPr>
            <w:tcW w:w="0" w:type="auto"/>
            <w:hideMark/>
          </w:tcPr>
          <w:p w14:paraId="377CE3A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In IoT NTN, the issue has been addressed by adding a PCI indication for the reference location in ReportConfigEUTRA, as agreed in R2-2401595, the similar solution can be adopted for NR NTN.</w:t>
            </w:r>
          </w:p>
        </w:tc>
      </w:tr>
      <w:tr w:rsidR="00A1097C" w:rsidRPr="00CB4A1C" w14:paraId="3B76979E" w14:textId="77777777" w:rsidTr="00E736AB">
        <w:trPr>
          <w:trHeight w:val="1800"/>
        </w:trPr>
        <w:tc>
          <w:tcPr>
            <w:tcW w:w="988" w:type="dxa"/>
            <w:noWrap/>
            <w:hideMark/>
          </w:tcPr>
          <w:p w14:paraId="210299A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V501</w:t>
            </w:r>
          </w:p>
        </w:tc>
        <w:tc>
          <w:tcPr>
            <w:tcW w:w="1263" w:type="dxa"/>
            <w:noWrap/>
            <w:hideMark/>
          </w:tcPr>
          <w:p w14:paraId="7BCE916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vivo-Stephen</w:t>
            </w:r>
          </w:p>
        </w:tc>
        <w:tc>
          <w:tcPr>
            <w:tcW w:w="0" w:type="auto"/>
            <w:noWrap/>
            <w:hideMark/>
          </w:tcPr>
          <w:p w14:paraId="3EAD43E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8120DB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07A6074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Duplicate</w:t>
            </w:r>
          </w:p>
        </w:tc>
        <w:tc>
          <w:tcPr>
            <w:tcW w:w="0" w:type="auto"/>
            <w:hideMark/>
          </w:tcPr>
          <w:p w14:paraId="077296D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To be discussed together with V500.</w:t>
            </w:r>
          </w:p>
        </w:tc>
        <w:tc>
          <w:tcPr>
            <w:tcW w:w="0" w:type="auto"/>
            <w:hideMark/>
          </w:tcPr>
          <w:p w14:paraId="5211CB1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When Uncahgned PCI is configured, there will be two validity duration value for the serving cell (one indicated via the Rel-17 field, while another via the Rel-18 field), it is not clear which one to be used.</w:t>
            </w:r>
          </w:p>
        </w:tc>
        <w:tc>
          <w:tcPr>
            <w:tcW w:w="0" w:type="auto"/>
            <w:hideMark/>
          </w:tcPr>
          <w:p w14:paraId="0FA8028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Clarify that the UE uses the value from Rel-17 field before unchanged PCI and uses the value from Rel-18 field after unchanged PCI.</w:t>
            </w:r>
          </w:p>
        </w:tc>
      </w:tr>
      <w:tr w:rsidR="00A1097C" w:rsidRPr="00CB4A1C" w14:paraId="4D25A6DB" w14:textId="77777777" w:rsidTr="00E736AB">
        <w:trPr>
          <w:trHeight w:val="3000"/>
        </w:trPr>
        <w:tc>
          <w:tcPr>
            <w:tcW w:w="988" w:type="dxa"/>
            <w:noWrap/>
            <w:hideMark/>
          </w:tcPr>
          <w:p w14:paraId="4FA34B4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E300</w:t>
            </w:r>
          </w:p>
        </w:tc>
        <w:tc>
          <w:tcPr>
            <w:tcW w:w="1263" w:type="dxa"/>
            <w:noWrap/>
            <w:hideMark/>
          </w:tcPr>
          <w:p w14:paraId="468CF76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Ericsson (Ignacio)</w:t>
            </w:r>
          </w:p>
        </w:tc>
        <w:tc>
          <w:tcPr>
            <w:tcW w:w="0" w:type="auto"/>
            <w:noWrap/>
            <w:hideMark/>
          </w:tcPr>
          <w:p w14:paraId="28FC253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6C2CF0B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131C9E9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4BFCBA2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397F60C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In RAN2#124, the following agreement was taken: During satellite switching procedure, UE should reset the L3 filter for serving cell RRM measurement and RLM, and it’s up to UE implementation (i.e. no RAN2 spec impact).  Even though no specification impact was identified at the time, it would be beneficial to add a clarification in the form of a note.</w:t>
            </w:r>
          </w:p>
        </w:tc>
        <w:tc>
          <w:tcPr>
            <w:tcW w:w="0" w:type="auto"/>
            <w:hideMark/>
          </w:tcPr>
          <w:p w14:paraId="66B1C6D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Similar to ATG case, add a NOTE to clarify UE behaviour (reset L3 filter) upon satellite switch with re-sync.</w:t>
            </w:r>
          </w:p>
        </w:tc>
      </w:tr>
      <w:tr w:rsidR="00A1097C" w:rsidRPr="00CB4A1C" w14:paraId="7197BDBB" w14:textId="77777777" w:rsidTr="00E736AB">
        <w:trPr>
          <w:trHeight w:val="900"/>
        </w:trPr>
        <w:tc>
          <w:tcPr>
            <w:tcW w:w="988" w:type="dxa"/>
            <w:noWrap/>
            <w:hideMark/>
          </w:tcPr>
          <w:p w14:paraId="387EF25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E301</w:t>
            </w:r>
          </w:p>
        </w:tc>
        <w:tc>
          <w:tcPr>
            <w:tcW w:w="1263" w:type="dxa"/>
            <w:noWrap/>
            <w:hideMark/>
          </w:tcPr>
          <w:p w14:paraId="79245BE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Ericssson (Ignacio)</w:t>
            </w:r>
          </w:p>
        </w:tc>
        <w:tc>
          <w:tcPr>
            <w:tcW w:w="0" w:type="auto"/>
            <w:noWrap/>
            <w:hideMark/>
          </w:tcPr>
          <w:p w14:paraId="02E5CA3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448C579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0</w:t>
            </w:r>
          </w:p>
        </w:tc>
        <w:tc>
          <w:tcPr>
            <w:tcW w:w="0" w:type="auto"/>
            <w:shd w:val="clear" w:color="auto" w:fill="C5E0B3" w:themeFill="accent6" w:themeFillTint="66"/>
            <w:noWrap/>
            <w:hideMark/>
          </w:tcPr>
          <w:p w14:paraId="5709C02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2C1DB02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09FA7D3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Missing condition inequalities for CondEventT1 after last specification merge.</w:t>
            </w:r>
          </w:p>
        </w:tc>
        <w:tc>
          <w:tcPr>
            <w:tcW w:w="0" w:type="auto"/>
            <w:hideMark/>
          </w:tcPr>
          <w:p w14:paraId="69A171C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Add the inequalities back.</w:t>
            </w:r>
          </w:p>
        </w:tc>
      </w:tr>
      <w:tr w:rsidR="00A1097C" w:rsidRPr="00CB4A1C" w14:paraId="2EC4E7D5" w14:textId="77777777" w:rsidTr="00E736AB">
        <w:trPr>
          <w:trHeight w:val="3000"/>
        </w:trPr>
        <w:tc>
          <w:tcPr>
            <w:tcW w:w="988" w:type="dxa"/>
            <w:noWrap/>
            <w:hideMark/>
          </w:tcPr>
          <w:p w14:paraId="65569D3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E302</w:t>
            </w:r>
          </w:p>
        </w:tc>
        <w:tc>
          <w:tcPr>
            <w:tcW w:w="1263" w:type="dxa"/>
            <w:noWrap/>
            <w:hideMark/>
          </w:tcPr>
          <w:p w14:paraId="46DAA24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Ericsson (Ignacio)</w:t>
            </w:r>
          </w:p>
        </w:tc>
        <w:tc>
          <w:tcPr>
            <w:tcW w:w="0" w:type="auto"/>
            <w:noWrap/>
            <w:hideMark/>
          </w:tcPr>
          <w:p w14:paraId="4C910A7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734C1ED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4A474E1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2C8B55C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78662DB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 xml:space="preserve">The present text precludes network to include the field for a different type of cell, e.g., quasi-Earth fixed cell. This is useful when network wants to configure measurements for a neighbor cell whose satellite assistance information is not present in SIB19. For instance, the cell could belong to a </w:t>
            </w:r>
            <w:r w:rsidRPr="00CB4A1C">
              <w:rPr>
                <w:rFonts w:ascii="Arial" w:hAnsi="Arial" w:cs="Arial"/>
                <w:sz w:val="20"/>
                <w:szCs w:val="20"/>
                <w:lang w:eastAsia="ja-JP"/>
              </w:rPr>
              <w:lastRenderedPageBreak/>
              <w:t>different shell in the satellite constellation.</w:t>
            </w:r>
          </w:p>
        </w:tc>
        <w:tc>
          <w:tcPr>
            <w:tcW w:w="0" w:type="auto"/>
            <w:hideMark/>
          </w:tcPr>
          <w:p w14:paraId="02F5E7A9"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Align the text with IoT NTN and make it optionally present when it is not mandatory.</w:t>
            </w:r>
          </w:p>
        </w:tc>
      </w:tr>
      <w:tr w:rsidR="00A1097C" w:rsidRPr="00CB4A1C" w14:paraId="25792E41" w14:textId="77777777" w:rsidTr="00E736AB">
        <w:trPr>
          <w:trHeight w:val="900"/>
        </w:trPr>
        <w:tc>
          <w:tcPr>
            <w:tcW w:w="988" w:type="dxa"/>
            <w:noWrap/>
            <w:hideMark/>
          </w:tcPr>
          <w:p w14:paraId="52FE9B0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H117</w:t>
            </w:r>
          </w:p>
        </w:tc>
        <w:tc>
          <w:tcPr>
            <w:tcW w:w="1263" w:type="dxa"/>
            <w:noWrap/>
            <w:hideMark/>
          </w:tcPr>
          <w:p w14:paraId="0C8DC19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(Lili)</w:t>
            </w:r>
          </w:p>
        </w:tc>
        <w:tc>
          <w:tcPr>
            <w:tcW w:w="0" w:type="auto"/>
            <w:noWrap/>
            <w:hideMark/>
          </w:tcPr>
          <w:p w14:paraId="3549AA1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660EBFB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5EDECD3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2474889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25A98E4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Change “quasi-Earth fixed” to “(quasi)-Earth fixed”</w:t>
            </w:r>
          </w:p>
        </w:tc>
        <w:tc>
          <w:tcPr>
            <w:tcW w:w="0" w:type="auto"/>
            <w:hideMark/>
          </w:tcPr>
          <w:p w14:paraId="74C4302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In the previous meeting, the following agreement was made for IOT NTN: Change “quasi-earth” to “(quasi-)earth” in the field description of referenceLocation in SIB31  The similar change is needed for SIB19 of NR NTN.</w:t>
            </w:r>
          </w:p>
        </w:tc>
      </w:tr>
      <w:tr w:rsidR="00A1097C" w:rsidRPr="00CB4A1C" w14:paraId="0E10BE68" w14:textId="77777777" w:rsidTr="00E736AB">
        <w:trPr>
          <w:trHeight w:val="2400"/>
        </w:trPr>
        <w:tc>
          <w:tcPr>
            <w:tcW w:w="988" w:type="dxa"/>
            <w:noWrap/>
            <w:hideMark/>
          </w:tcPr>
          <w:p w14:paraId="34F0297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K006</w:t>
            </w:r>
          </w:p>
        </w:tc>
        <w:tc>
          <w:tcPr>
            <w:tcW w:w="1263" w:type="dxa"/>
            <w:noWrap/>
            <w:hideMark/>
          </w:tcPr>
          <w:p w14:paraId="7C746AE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ASUSTeK (Erica)</w:t>
            </w:r>
          </w:p>
        </w:tc>
        <w:tc>
          <w:tcPr>
            <w:tcW w:w="0" w:type="auto"/>
            <w:noWrap/>
            <w:hideMark/>
          </w:tcPr>
          <w:p w14:paraId="1935757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32E6FD9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629C452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2015D03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7FE0DEA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Description for neighbor/candidate cell and serving cell are not aligned in Event D2/CondEvent D2</w:t>
            </w:r>
          </w:p>
        </w:tc>
        <w:tc>
          <w:tcPr>
            <w:tcW w:w="0" w:type="auto"/>
            <w:hideMark/>
          </w:tcPr>
          <w:p w14:paraId="70C9F03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Currently, the description of moving reference location for serving cell is determined based on “movingReferenceLocation and its corresponding satellite ephemeris and epoch time for the serving cell.” The description of moving reference location for neighbor cell is determined based on “referenceLocation2” and for candidate cell is determined based on “referenceLocation2 of conditional reconfiguration candidate” without mentioning the corresponding satellite ephemeris and epoch time. It is suggested to add “and its corresponding satellite ephemeris and epoch time for the neighbour cell” after referenceLocation2 of Event D2, and add “and its corresponding satellite ephemeris and epoch time” for CondEvent D2.</w:t>
            </w:r>
          </w:p>
        </w:tc>
      </w:tr>
      <w:tr w:rsidR="00A1097C" w:rsidRPr="00CB4A1C" w14:paraId="45B0CAD9" w14:textId="77777777" w:rsidTr="00E736AB">
        <w:trPr>
          <w:trHeight w:val="3600"/>
        </w:trPr>
        <w:tc>
          <w:tcPr>
            <w:tcW w:w="988" w:type="dxa"/>
            <w:noWrap/>
            <w:hideMark/>
          </w:tcPr>
          <w:p w14:paraId="3365423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N131</w:t>
            </w:r>
          </w:p>
        </w:tc>
        <w:tc>
          <w:tcPr>
            <w:tcW w:w="1263" w:type="dxa"/>
            <w:noWrap/>
            <w:hideMark/>
          </w:tcPr>
          <w:p w14:paraId="4EAA3F2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Nokia (Jedrzej)</w:t>
            </w:r>
          </w:p>
        </w:tc>
        <w:tc>
          <w:tcPr>
            <w:tcW w:w="0" w:type="auto"/>
            <w:noWrap/>
            <w:hideMark/>
          </w:tcPr>
          <w:p w14:paraId="744588B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2A9AD49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10DB2F8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43BB132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7AD99E9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Current specification of Section 5.2.2.4.21 includes UE actions on when the UE starts acquiring the DL synchronization of the inbound satellite during the satellite switch with resync and when to perform the satellite switch. Such UE actions involved the use of SatSwitchWithReSync but may not occur upon receiving SIB19 and, therefore, shall be described in Section 5.7.19</w:t>
            </w:r>
          </w:p>
        </w:tc>
        <w:tc>
          <w:tcPr>
            <w:tcW w:w="0" w:type="auto"/>
            <w:hideMark/>
          </w:tcPr>
          <w:p w14:paraId="09A6239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Move the corresponding description to 5.7.19</w:t>
            </w:r>
          </w:p>
        </w:tc>
      </w:tr>
      <w:tr w:rsidR="00A1097C" w:rsidRPr="00CB4A1C" w14:paraId="3263BBB3" w14:textId="77777777" w:rsidTr="00E736AB">
        <w:trPr>
          <w:trHeight w:val="900"/>
        </w:trPr>
        <w:tc>
          <w:tcPr>
            <w:tcW w:w="988" w:type="dxa"/>
            <w:noWrap/>
            <w:hideMark/>
          </w:tcPr>
          <w:p w14:paraId="2A62C2F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S486</w:t>
            </w:r>
          </w:p>
        </w:tc>
        <w:tc>
          <w:tcPr>
            <w:tcW w:w="1263" w:type="dxa"/>
            <w:noWrap/>
            <w:hideMark/>
          </w:tcPr>
          <w:p w14:paraId="29DF742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Samsung (Jonas)</w:t>
            </w:r>
          </w:p>
        </w:tc>
        <w:tc>
          <w:tcPr>
            <w:tcW w:w="0" w:type="auto"/>
            <w:noWrap/>
            <w:hideMark/>
          </w:tcPr>
          <w:p w14:paraId="7C77A28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4A3154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4F72E3A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PropAgree</w:t>
            </w:r>
          </w:p>
        </w:tc>
        <w:tc>
          <w:tcPr>
            <w:tcW w:w="0" w:type="auto"/>
            <w:hideMark/>
          </w:tcPr>
          <w:p w14:paraId="05939E3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will be addressed in the Rapp input CR</w:t>
            </w:r>
          </w:p>
        </w:tc>
        <w:tc>
          <w:tcPr>
            <w:tcW w:w="0" w:type="auto"/>
            <w:hideMark/>
          </w:tcPr>
          <w:p w14:paraId="0B2947B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was agreed that TAR MAC CE may be sent during RACH-less HO and the current procedures allow for it.</w:t>
            </w:r>
          </w:p>
        </w:tc>
        <w:tc>
          <w:tcPr>
            <w:tcW w:w="0" w:type="auto"/>
            <w:hideMark/>
          </w:tcPr>
          <w:p w14:paraId="49B1505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Either remove “Random access due to” or add “during Random access and RACH-less  due to reconfiguration with sync”</w:t>
            </w:r>
          </w:p>
        </w:tc>
      </w:tr>
      <w:tr w:rsidR="00A1097C" w:rsidRPr="00CB4A1C" w14:paraId="465CEB65" w14:textId="77777777" w:rsidTr="00E736AB">
        <w:trPr>
          <w:trHeight w:val="3900"/>
        </w:trPr>
        <w:tc>
          <w:tcPr>
            <w:tcW w:w="988" w:type="dxa"/>
            <w:noWrap/>
            <w:hideMark/>
          </w:tcPr>
          <w:p w14:paraId="37248E4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C604</w:t>
            </w:r>
          </w:p>
        </w:tc>
        <w:tc>
          <w:tcPr>
            <w:tcW w:w="1263" w:type="dxa"/>
            <w:noWrap/>
            <w:hideMark/>
          </w:tcPr>
          <w:p w14:paraId="10741CB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CATT (Xiao)</w:t>
            </w:r>
          </w:p>
        </w:tc>
        <w:tc>
          <w:tcPr>
            <w:tcW w:w="0" w:type="auto"/>
            <w:noWrap/>
            <w:hideMark/>
          </w:tcPr>
          <w:p w14:paraId="517EF5F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0EAF023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2</w:t>
            </w:r>
          </w:p>
        </w:tc>
        <w:tc>
          <w:tcPr>
            <w:tcW w:w="0" w:type="auto"/>
            <w:shd w:val="clear" w:color="auto" w:fill="C5E0B3" w:themeFill="accent6" w:themeFillTint="66"/>
            <w:noWrap/>
            <w:hideMark/>
          </w:tcPr>
          <w:p w14:paraId="6AF59B2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6B4DFB7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If discussed, it should be brough up in RACH-less generalization. The lack of related contributions evidences that the RIL has not gained companies' sympathy in the last two meetings.</w:t>
            </w:r>
          </w:p>
        </w:tc>
        <w:tc>
          <w:tcPr>
            <w:tcW w:w="0" w:type="auto"/>
            <w:hideMark/>
          </w:tcPr>
          <w:p w14:paraId="29B4C50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Uncertain correctness of the parameters included in this IE for CG RACH-less HO</w:t>
            </w:r>
          </w:p>
        </w:tc>
        <w:tc>
          <w:tcPr>
            <w:tcW w:w="0" w:type="auto"/>
            <w:hideMark/>
          </w:tcPr>
          <w:p w14:paraId="16F8157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 L1 parameters of CG RACH-less HO have never been discussed by RAN1, and the current spec assumes direct reuse of the cg-SDT related parameters. However, there could be the following issues: 1) the L1 parameters included in this IE for RACH-less HO (i.e. ntn-RSRP-ThresholdSSB-r18, ntn-SSB-PerCG-PUSCH-r18, ntn-SSB-Subset-r18, ntn-DMRS-Ports-r18, ntn-NrofDMRS-Sequences-r18) were directly copied from CG-SDT-Configuration-r17, including the value range, and correctness of them have never been checked or discussed by RAN1. 2) There also are some parameters in rrc-ConfiguredUplinkGrant which are clearly specified as not applicable to cg-SDT (per previous RAN1 LS, including antennaPort, athlossReferenceIndex, phy-PriorityIndex, srs-ResourceIndicator, precodingAndNumberOfLayers), and it is unclear whether such restriction also apply to the similar parameters for CG RACH-less HO.  So the correctness of these L1 parameters for RACH-less HO is uncertain, and needs to be checked by RAN1. Consequence of not doing so is that dummification is needed if any of the parameters is later found to be incorrect.  We will bring a contribution to address this issue.</w:t>
            </w:r>
          </w:p>
        </w:tc>
      </w:tr>
      <w:tr w:rsidR="00A1097C" w:rsidRPr="00CB4A1C" w14:paraId="2E06634D" w14:textId="77777777" w:rsidTr="00E736AB">
        <w:trPr>
          <w:trHeight w:val="1800"/>
        </w:trPr>
        <w:tc>
          <w:tcPr>
            <w:tcW w:w="988" w:type="dxa"/>
            <w:noWrap/>
            <w:hideMark/>
          </w:tcPr>
          <w:p w14:paraId="75BF681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C651</w:t>
            </w:r>
          </w:p>
        </w:tc>
        <w:tc>
          <w:tcPr>
            <w:tcW w:w="1263" w:type="dxa"/>
            <w:noWrap/>
            <w:hideMark/>
          </w:tcPr>
          <w:p w14:paraId="4B0A2C5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CATT (Xiao)</w:t>
            </w:r>
          </w:p>
        </w:tc>
        <w:tc>
          <w:tcPr>
            <w:tcW w:w="0" w:type="auto"/>
            <w:noWrap/>
            <w:hideMark/>
          </w:tcPr>
          <w:p w14:paraId="6054506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NR NTN</w:t>
            </w:r>
          </w:p>
        </w:tc>
        <w:tc>
          <w:tcPr>
            <w:tcW w:w="0" w:type="auto"/>
            <w:noWrap/>
            <w:hideMark/>
          </w:tcPr>
          <w:p w14:paraId="1D9EA71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6A7BEA8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2EE01A9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Clarification is not needed. The complete description is in the event definition already.</w:t>
            </w:r>
          </w:p>
        </w:tc>
        <w:tc>
          <w:tcPr>
            <w:tcW w:w="0" w:type="auto"/>
            <w:hideMark/>
          </w:tcPr>
          <w:p w14:paraId="6669413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Incorrect description of distanceThreshFromReference1/ distanceThreshFromReference2 in EventTriggerConfig</w:t>
            </w:r>
          </w:p>
        </w:tc>
        <w:tc>
          <w:tcPr>
            <w:tcW w:w="0" w:type="auto"/>
            <w:hideMark/>
          </w:tcPr>
          <w:p w14:paraId="6EF7A87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Currently the field description does not distinguish earth moving cell or earth fixed cell. For earth fixed cell, the field description is accurate since the reference location is fixed. But for earth moving cell, the reference locations is not a fixed value. It should be variant with the satellite motion. The field description for distanceThreshFromReference1/distanceThresh</w:t>
            </w:r>
            <w:r w:rsidRPr="00CB4A1C">
              <w:rPr>
                <w:rFonts w:ascii="Arial" w:hAnsi="Arial" w:cs="Arial"/>
                <w:sz w:val="20"/>
                <w:szCs w:val="20"/>
                <w:lang w:eastAsia="ja-JP"/>
              </w:rPr>
              <w:lastRenderedPageBreak/>
              <w:t>FromReference2 defined for CondTriggerConfig can be referred to for possible modification to those in EvenTriggerConfig. Contribution will be submitted to show the TP.</w:t>
            </w:r>
          </w:p>
        </w:tc>
      </w:tr>
      <w:tr w:rsidR="00A1097C" w:rsidRPr="00CB4A1C" w14:paraId="4FD452C1" w14:textId="77777777" w:rsidTr="00E736AB">
        <w:trPr>
          <w:trHeight w:val="2400"/>
        </w:trPr>
        <w:tc>
          <w:tcPr>
            <w:tcW w:w="988" w:type="dxa"/>
            <w:noWrap/>
            <w:hideMark/>
          </w:tcPr>
          <w:p w14:paraId="461C4FD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E145</w:t>
            </w:r>
          </w:p>
        </w:tc>
        <w:tc>
          <w:tcPr>
            <w:tcW w:w="1263" w:type="dxa"/>
            <w:noWrap/>
            <w:hideMark/>
          </w:tcPr>
          <w:p w14:paraId="4731021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Ericsson (Ignacio)</w:t>
            </w:r>
          </w:p>
        </w:tc>
        <w:tc>
          <w:tcPr>
            <w:tcW w:w="0" w:type="auto"/>
            <w:noWrap/>
            <w:hideMark/>
          </w:tcPr>
          <w:p w14:paraId="3E2B062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397C410" w14:textId="77777777" w:rsidR="00A1097C" w:rsidRPr="00CB4A1C" w:rsidRDefault="00A1097C" w:rsidP="00E736AB">
            <w:pPr>
              <w:rPr>
                <w:rFonts w:ascii="Arial" w:hAnsi="Arial" w:cs="Arial"/>
                <w:sz w:val="20"/>
                <w:szCs w:val="20"/>
                <w:lang w:eastAsia="ja-JP"/>
              </w:rPr>
            </w:pPr>
          </w:p>
        </w:tc>
        <w:tc>
          <w:tcPr>
            <w:tcW w:w="0" w:type="auto"/>
            <w:shd w:val="clear" w:color="auto" w:fill="C5E0B3" w:themeFill="accent6" w:themeFillTint="66"/>
            <w:noWrap/>
            <w:hideMark/>
          </w:tcPr>
          <w:p w14:paraId="40494EA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575A9F3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If discussed, it should be brough up in RACH-less generalization. The lack of related contributions evidences that the RIL has not gained companies' sympathy in the last two meetings.</w:t>
            </w:r>
          </w:p>
        </w:tc>
        <w:tc>
          <w:tcPr>
            <w:tcW w:w="0" w:type="auto"/>
            <w:hideMark/>
          </w:tcPr>
          <w:p w14:paraId="4A9B500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Last meeting RAN2 decided for NTN to indicate the beam to use for RACH-less handover in the dynamic grant case with a single SSB. Given the purpose is similar in mIAB, we think it would be better to align both solutions. TCI state ID provides enhanced information for the QCL of the signal.</w:t>
            </w:r>
          </w:p>
        </w:tc>
        <w:tc>
          <w:tcPr>
            <w:tcW w:w="0" w:type="auto"/>
            <w:hideMark/>
          </w:tcPr>
          <w:p w14:paraId="435931B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Align indication of beam for dynamic grant by using TCI state ID.</w:t>
            </w:r>
          </w:p>
        </w:tc>
      </w:tr>
      <w:tr w:rsidR="00A1097C" w:rsidRPr="00CB4A1C" w14:paraId="4414B5E9" w14:textId="77777777" w:rsidTr="00E736AB">
        <w:trPr>
          <w:trHeight w:val="4500"/>
        </w:trPr>
        <w:tc>
          <w:tcPr>
            <w:tcW w:w="988" w:type="dxa"/>
            <w:noWrap/>
            <w:hideMark/>
          </w:tcPr>
          <w:p w14:paraId="1F778ED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H063</w:t>
            </w:r>
          </w:p>
        </w:tc>
        <w:tc>
          <w:tcPr>
            <w:tcW w:w="1263" w:type="dxa"/>
            <w:noWrap/>
            <w:hideMark/>
          </w:tcPr>
          <w:p w14:paraId="48AF374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(Lili)</w:t>
            </w:r>
          </w:p>
        </w:tc>
        <w:tc>
          <w:tcPr>
            <w:tcW w:w="0" w:type="auto"/>
            <w:noWrap/>
            <w:hideMark/>
          </w:tcPr>
          <w:p w14:paraId="04E78319"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409CF85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60EF625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5A9D7E4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Agreed last meeting: all UEs supporting satellite switch with resync shall be able to perform satellite switch with re-sync without RACH (this does not mean that a UE supporting satellite switch with resync needs to support RACH-less HO)</w:t>
            </w:r>
          </w:p>
        </w:tc>
        <w:tc>
          <w:tcPr>
            <w:tcW w:w="0" w:type="auto"/>
            <w:hideMark/>
          </w:tcPr>
          <w:p w14:paraId="670314C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RACH-less is an optional feature, it should not be assumed that RACH-less is supported for all UEs in unchanged PCI scenario.</w:t>
            </w:r>
          </w:p>
        </w:tc>
        <w:tc>
          <w:tcPr>
            <w:tcW w:w="0" w:type="auto"/>
            <w:hideMark/>
          </w:tcPr>
          <w:p w14:paraId="7C40269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RACH-less is defined as an optional feature (rachlessHandoverNTN-r18) in R18 NTN.  However, in the context of unchanged PCI, it is assumed that RACH-less is the default behaviour and no UE behaivor related to RACH is captured in the spec. One reason is that some company may consider this unchanged PCI as a purely MAC layer procedure and it is different from the L3 RACH-less HO. According to current 38.321, the satellite switch with re-synchronization requires the UE to set NTA to zero, which largely restricts the applicable scenarios of unchanged PCI.  We think the network should be able to control whether RACH is performed by the UE. PDCCH order is one of the options (as discussed in the previous meeting), but PDCCH order is also a UE dedicated signalling (which more or less mitigates the benefit of unchanged PCI in terms of signalling overhead) and requires contention free resources. Moreover, it should not be assumed that RACH-less is by default supported for all UEs, we are open for further discussion on whether an additional capability is needed for unchanged PCI without performing RACH, or the capability rachlessHandoverNTN-r18 can be reused in the unchanged PCI case.  Solution:  NW is able to control whether RACH is performed during satellite switching. FFS on signalling (e.g. indication in SIB19, or indication in RRCReconfiguration which means this indication is piggybacked in previous RRCReconfiguration messages).  A TP will be provided in a separate Tdoc.</w:t>
            </w:r>
          </w:p>
        </w:tc>
      </w:tr>
      <w:tr w:rsidR="00A1097C" w:rsidRPr="00CB4A1C" w14:paraId="6FD8CC42" w14:textId="77777777" w:rsidTr="00E736AB">
        <w:trPr>
          <w:trHeight w:val="3600"/>
        </w:trPr>
        <w:tc>
          <w:tcPr>
            <w:tcW w:w="988" w:type="dxa"/>
            <w:noWrap/>
            <w:hideMark/>
          </w:tcPr>
          <w:p w14:paraId="699383A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H115</w:t>
            </w:r>
          </w:p>
        </w:tc>
        <w:tc>
          <w:tcPr>
            <w:tcW w:w="1263" w:type="dxa"/>
            <w:noWrap/>
            <w:hideMark/>
          </w:tcPr>
          <w:p w14:paraId="5B2FBAD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(Lili)</w:t>
            </w:r>
          </w:p>
        </w:tc>
        <w:tc>
          <w:tcPr>
            <w:tcW w:w="0" w:type="auto"/>
            <w:noWrap/>
            <w:hideMark/>
          </w:tcPr>
          <w:p w14:paraId="511EF9D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2C64322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1AE4FC1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5DA7530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There might be changes in System Information upon satellite switch beyond the contents of SIB19. For instance, neighbour frequency information or SMTCs. Thus, System Information reacquisition should be mandated. Note this clause applies to UE in both RRC_CONNECTED and RRC_IDLE.</w:t>
            </w:r>
          </w:p>
        </w:tc>
        <w:tc>
          <w:tcPr>
            <w:tcW w:w="0" w:type="auto"/>
            <w:hideMark/>
          </w:tcPr>
          <w:p w14:paraId="7729CDA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Only SIB19 needs to be reacquired after satellite switching with re-sync, other SIBs don’t</w:t>
            </w:r>
          </w:p>
        </w:tc>
        <w:tc>
          <w:tcPr>
            <w:tcW w:w="0" w:type="auto"/>
            <w:hideMark/>
          </w:tcPr>
          <w:p w14:paraId="19C32E6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According to the current text, “The UE shall apply the SI acquisition procedure as defined in clause 5.2.2.3 … after reconfiguration with sync completion”. Actually only SIB19 needs to be reacquired (for updated ephemeris information), other SIBs don’t need to be reacquired since the cell is not changed.  Proposed change: 1) Clause 5.2.2.2.1: The UE shall apply the SI acquisition procedure as defined in clause 5.2.2.3 upon cell selection (e.g. upon power on), cell-reselection, return from out of coverage, after reconfiguration with sync completion, after satellite switch with resynchronization, after entering the network from another RAT, upon receiving an indication that the system information has changed, upon receiving a PWS notification, upon receiving request (e.g., a positioning request) from upper layers; and whenever the UE does not have a valid version of a stored SIB or posSIB or a valid version of a requested SIB. The UE shall apply the SIB19 acquisition procedure as defined in clause 5.2.2.3 after satellite switch with resynchronization. 2) Clause 5.2.2.4.21: Add one step of “acquire SIB19 of the serving cell served by the target satellite”</w:t>
            </w:r>
          </w:p>
        </w:tc>
      </w:tr>
      <w:tr w:rsidR="00A1097C" w:rsidRPr="00CB4A1C" w14:paraId="047CBDAA" w14:textId="77777777" w:rsidTr="00E736AB">
        <w:trPr>
          <w:trHeight w:val="900"/>
        </w:trPr>
        <w:tc>
          <w:tcPr>
            <w:tcW w:w="988" w:type="dxa"/>
            <w:noWrap/>
            <w:hideMark/>
          </w:tcPr>
          <w:p w14:paraId="6B20F6C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H500</w:t>
            </w:r>
          </w:p>
        </w:tc>
        <w:tc>
          <w:tcPr>
            <w:tcW w:w="1263" w:type="dxa"/>
            <w:noWrap/>
            <w:hideMark/>
          </w:tcPr>
          <w:p w14:paraId="6AA966B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(YinghaoGuo)</w:t>
            </w:r>
          </w:p>
        </w:tc>
        <w:tc>
          <w:tcPr>
            <w:tcW w:w="0" w:type="auto"/>
            <w:noWrap/>
            <w:hideMark/>
          </w:tcPr>
          <w:p w14:paraId="7FD5B279"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ATG, NTN</w:t>
            </w:r>
          </w:p>
        </w:tc>
        <w:tc>
          <w:tcPr>
            <w:tcW w:w="0" w:type="auto"/>
            <w:noWrap/>
            <w:hideMark/>
          </w:tcPr>
          <w:p w14:paraId="442CB6C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026DD79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4AF3FAF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 xml:space="preserve">The  text refers to different barring bits with different options (e.g, VSAT). Thus, merging would complicate the </w:t>
            </w:r>
            <w:r w:rsidRPr="00CB4A1C">
              <w:rPr>
                <w:rFonts w:ascii="Arial" w:hAnsi="Arial" w:cs="Arial"/>
                <w:sz w:val="20"/>
                <w:szCs w:val="20"/>
                <w:lang w:eastAsia="ja-JP"/>
              </w:rPr>
              <w:lastRenderedPageBreak/>
              <w:t>clear interpretation of the procedure.</w:t>
            </w:r>
          </w:p>
        </w:tc>
        <w:tc>
          <w:tcPr>
            <w:tcW w:w="0" w:type="auto"/>
            <w:hideMark/>
          </w:tcPr>
          <w:p w14:paraId="0CEFCA6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The procedure for ATG and NTN are the same and can be merged into the same paragraph</w:t>
            </w:r>
          </w:p>
        </w:tc>
        <w:tc>
          <w:tcPr>
            <w:tcW w:w="0" w:type="auto"/>
            <w:hideMark/>
          </w:tcPr>
          <w:p w14:paraId="66346E6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merge the ATG and NTN barring procedure into the same paragraph</w:t>
            </w:r>
          </w:p>
        </w:tc>
      </w:tr>
      <w:tr w:rsidR="00A1097C" w:rsidRPr="00CB4A1C" w14:paraId="5A608CA8" w14:textId="77777777" w:rsidTr="00E736AB">
        <w:trPr>
          <w:trHeight w:val="1800"/>
        </w:trPr>
        <w:tc>
          <w:tcPr>
            <w:tcW w:w="988" w:type="dxa"/>
            <w:noWrap/>
            <w:hideMark/>
          </w:tcPr>
          <w:p w14:paraId="4084DE7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K005</w:t>
            </w:r>
          </w:p>
        </w:tc>
        <w:tc>
          <w:tcPr>
            <w:tcW w:w="1263" w:type="dxa"/>
            <w:noWrap/>
            <w:hideMark/>
          </w:tcPr>
          <w:p w14:paraId="4457BF3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ASUSTeK (Erica)</w:t>
            </w:r>
          </w:p>
        </w:tc>
        <w:tc>
          <w:tcPr>
            <w:tcW w:w="0" w:type="auto"/>
            <w:noWrap/>
            <w:hideMark/>
          </w:tcPr>
          <w:p w14:paraId="75508DF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2E62C11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1D95E46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1A68DA0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Such a change would constitute an exception for how neighbor cell epoch time is intepreted in NTN. This has not been discussed previously, but there seems not to be any error with the current wording that justifies its adoption.</w:t>
            </w:r>
          </w:p>
        </w:tc>
        <w:tc>
          <w:tcPr>
            <w:tcW w:w="0" w:type="auto"/>
            <w:hideMark/>
          </w:tcPr>
          <w:p w14:paraId="438018E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It is ambiguous how the epoch time indicates SFN for the cell served by target satellite in the case of satellite switch with resynchronization</w:t>
            </w:r>
          </w:p>
        </w:tc>
        <w:tc>
          <w:tcPr>
            <w:tcW w:w="0" w:type="auto"/>
            <w:hideMark/>
          </w:tcPr>
          <w:p w14:paraId="24473247"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Based on current spec, epoch time indicates the current SFN or the next upcoming SFN for serving cell and indicates the nearest SFN for neighbour cell. While the interpretation of SFN for satellite switch may follow the case for neighbour cell, it may also be considered to follow the case for serving cell, since the PCI is kept the same. It is suggested to add “For satellite switch with resynchronization, it indicates the SFN nearest to the frame where the message indicating the epochTime is received” to the EpochTime field descriptions. A Tdoc would be provided.</w:t>
            </w:r>
          </w:p>
        </w:tc>
      </w:tr>
      <w:tr w:rsidR="00A1097C" w:rsidRPr="00CB4A1C" w14:paraId="4BCF7409" w14:textId="77777777" w:rsidTr="00E736AB">
        <w:trPr>
          <w:trHeight w:val="600"/>
        </w:trPr>
        <w:tc>
          <w:tcPr>
            <w:tcW w:w="988" w:type="dxa"/>
            <w:noWrap/>
            <w:hideMark/>
          </w:tcPr>
          <w:p w14:paraId="4500F21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K007</w:t>
            </w:r>
          </w:p>
        </w:tc>
        <w:tc>
          <w:tcPr>
            <w:tcW w:w="1263" w:type="dxa"/>
            <w:noWrap/>
            <w:hideMark/>
          </w:tcPr>
          <w:p w14:paraId="5053DC6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ASUSTeK (Erica)</w:t>
            </w:r>
          </w:p>
        </w:tc>
        <w:tc>
          <w:tcPr>
            <w:tcW w:w="0" w:type="auto"/>
            <w:noWrap/>
            <w:hideMark/>
          </w:tcPr>
          <w:p w14:paraId="3C3C48C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6FC07B1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464007A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2172CF9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Event D2 follows Release 17 value range for event D1.</w:t>
            </w:r>
          </w:p>
        </w:tc>
        <w:tc>
          <w:tcPr>
            <w:tcW w:w="0" w:type="auto"/>
            <w:hideMark/>
          </w:tcPr>
          <w:p w14:paraId="4C937F1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 value of distance threshold for eventD2 should start from 0</w:t>
            </w:r>
          </w:p>
        </w:tc>
        <w:tc>
          <w:tcPr>
            <w:tcW w:w="0" w:type="auto"/>
            <w:hideMark/>
          </w:tcPr>
          <w:p w14:paraId="51808DD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 value for distanceThreshFromReference1-r18 and distanceThreshFromReference2-r18 of eventD2-r18 should be (0.. 65535).</w:t>
            </w:r>
          </w:p>
        </w:tc>
      </w:tr>
      <w:tr w:rsidR="00A1097C" w:rsidRPr="00CB4A1C" w14:paraId="57B61626" w14:textId="77777777" w:rsidTr="00E736AB">
        <w:trPr>
          <w:trHeight w:val="1500"/>
        </w:trPr>
        <w:tc>
          <w:tcPr>
            <w:tcW w:w="988" w:type="dxa"/>
            <w:noWrap/>
            <w:hideMark/>
          </w:tcPr>
          <w:p w14:paraId="70A356C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N132</w:t>
            </w:r>
          </w:p>
        </w:tc>
        <w:tc>
          <w:tcPr>
            <w:tcW w:w="1263" w:type="dxa"/>
            <w:noWrap/>
            <w:hideMark/>
          </w:tcPr>
          <w:p w14:paraId="45461F5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Nokia (Jedrzej)</w:t>
            </w:r>
          </w:p>
        </w:tc>
        <w:tc>
          <w:tcPr>
            <w:tcW w:w="0" w:type="auto"/>
            <w:noWrap/>
            <w:hideMark/>
          </w:tcPr>
          <w:p w14:paraId="2E2DF67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34544E1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214426D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PropReject</w:t>
            </w:r>
          </w:p>
        </w:tc>
        <w:tc>
          <w:tcPr>
            <w:tcW w:w="0" w:type="auto"/>
            <w:hideMark/>
          </w:tcPr>
          <w:p w14:paraId="4E93BEB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 xml:space="preserve">Last meeting, RAN2 agreed that it is up to UE implementation to use the information in </w:t>
            </w:r>
            <w:r w:rsidRPr="00CB4A1C">
              <w:rPr>
                <w:rFonts w:ascii="Arial" w:hAnsi="Arial" w:cs="Arial"/>
                <w:sz w:val="20"/>
                <w:szCs w:val="20"/>
                <w:lang w:eastAsia="ja-JP"/>
              </w:rPr>
              <w:lastRenderedPageBreak/>
              <w:t>broadcast signalling to switch to the new satellite in other states than RRC_CONNECTED</w:t>
            </w:r>
          </w:p>
        </w:tc>
        <w:tc>
          <w:tcPr>
            <w:tcW w:w="0" w:type="auto"/>
            <w:hideMark/>
          </w:tcPr>
          <w:p w14:paraId="1507F81A"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 xml:space="preserve">current specification does not define separate behaviour of UEs in RRC_IDLE during satellite switching. At RAN2#125 meeting it was decided RRC_IDLE </w:t>
            </w:r>
            <w:r w:rsidRPr="00CB4A1C">
              <w:rPr>
                <w:rFonts w:ascii="Arial" w:hAnsi="Arial" w:cs="Arial"/>
                <w:sz w:val="20"/>
                <w:szCs w:val="20"/>
                <w:lang w:eastAsia="ja-JP"/>
              </w:rPr>
              <w:lastRenderedPageBreak/>
              <w:t>Ues can also attempt SatSwitchWithReSync.</w:t>
            </w:r>
          </w:p>
        </w:tc>
        <w:tc>
          <w:tcPr>
            <w:tcW w:w="0" w:type="auto"/>
            <w:hideMark/>
          </w:tcPr>
          <w:p w14:paraId="6DC5C8D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Remove 'in RRC_CONNECTED' from 5.7.19 header.</w:t>
            </w:r>
          </w:p>
        </w:tc>
      </w:tr>
      <w:tr w:rsidR="00A1097C" w:rsidRPr="00CB4A1C" w14:paraId="0387F14D" w14:textId="77777777" w:rsidTr="00E736AB">
        <w:trPr>
          <w:trHeight w:val="4200"/>
        </w:trPr>
        <w:tc>
          <w:tcPr>
            <w:tcW w:w="988" w:type="dxa"/>
            <w:noWrap/>
            <w:hideMark/>
          </w:tcPr>
          <w:p w14:paraId="7F7CA55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E252</w:t>
            </w:r>
          </w:p>
        </w:tc>
        <w:tc>
          <w:tcPr>
            <w:tcW w:w="1263" w:type="dxa"/>
            <w:noWrap/>
            <w:hideMark/>
          </w:tcPr>
          <w:p w14:paraId="6BE0E0C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Ericsson (Ignacio)</w:t>
            </w:r>
          </w:p>
        </w:tc>
        <w:tc>
          <w:tcPr>
            <w:tcW w:w="0" w:type="auto"/>
            <w:noWrap/>
            <w:hideMark/>
          </w:tcPr>
          <w:p w14:paraId="2D1B7BF9"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26FBEE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63FC37C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ToDo</w:t>
            </w:r>
          </w:p>
        </w:tc>
        <w:tc>
          <w:tcPr>
            <w:tcW w:w="0" w:type="auto"/>
            <w:hideMark/>
          </w:tcPr>
          <w:p w14:paraId="5DF5AC08"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Open issue with several related contributions, it calls for RAN2 discussion.</w:t>
            </w:r>
          </w:p>
        </w:tc>
        <w:tc>
          <w:tcPr>
            <w:tcW w:w="0" w:type="auto"/>
            <w:hideMark/>
          </w:tcPr>
          <w:p w14:paraId="34D592B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A measurement configuration principle is that a report configuration can be associated with several measurement objects. However, for EMC, reference location is associated with a single satellite/cell so that the UE can propagate and calculate its real current location. Regardless, the ephemeris is in the measurement object or the event itself, it means that the report configuration can only be associated with a single MO. Thus, breaking the principle of measurement configuration.</w:t>
            </w:r>
          </w:p>
        </w:tc>
        <w:tc>
          <w:tcPr>
            <w:tcW w:w="0" w:type="auto"/>
            <w:hideMark/>
          </w:tcPr>
          <w:p w14:paraId="006A27D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Move reference location for the target cell to the Measurement Object, along with the ephemeris and epoch time. In this way, the EventD2/condEventD2 is agnostic to the configured cells/satellites as it only contains the threshold.</w:t>
            </w:r>
          </w:p>
        </w:tc>
      </w:tr>
      <w:tr w:rsidR="00A1097C" w:rsidRPr="00CB4A1C" w14:paraId="0FE22486" w14:textId="77777777" w:rsidTr="00E736AB">
        <w:trPr>
          <w:trHeight w:val="1500"/>
        </w:trPr>
        <w:tc>
          <w:tcPr>
            <w:tcW w:w="988" w:type="dxa"/>
            <w:noWrap/>
            <w:hideMark/>
          </w:tcPr>
          <w:p w14:paraId="1140CA4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lastRenderedPageBreak/>
              <w:t>H010</w:t>
            </w:r>
          </w:p>
        </w:tc>
        <w:tc>
          <w:tcPr>
            <w:tcW w:w="1263" w:type="dxa"/>
            <w:noWrap/>
            <w:hideMark/>
          </w:tcPr>
          <w:p w14:paraId="7D9DBB34"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Huawei (Lili)</w:t>
            </w:r>
          </w:p>
        </w:tc>
        <w:tc>
          <w:tcPr>
            <w:tcW w:w="0" w:type="auto"/>
            <w:noWrap/>
            <w:hideMark/>
          </w:tcPr>
          <w:p w14:paraId="2723A28C"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D1FAD0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633E9D8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ToDo</w:t>
            </w:r>
          </w:p>
        </w:tc>
        <w:tc>
          <w:tcPr>
            <w:tcW w:w="0" w:type="auto"/>
            <w:hideMark/>
          </w:tcPr>
          <w:p w14:paraId="742EC4D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Still an open discussion with company's contributions.</w:t>
            </w:r>
          </w:p>
        </w:tc>
        <w:tc>
          <w:tcPr>
            <w:tcW w:w="0" w:type="auto"/>
            <w:hideMark/>
          </w:tcPr>
          <w:p w14:paraId="414198A3"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Use stmc to replace ssb-TimeOffset</w:t>
            </w:r>
          </w:p>
        </w:tc>
        <w:tc>
          <w:tcPr>
            <w:tcW w:w="0" w:type="auto"/>
            <w:hideMark/>
          </w:tcPr>
          <w:p w14:paraId="0C8971D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 current field description for ssb-TimeOffset is not clear, whether the “SSB from source” refers to the start subframe of SMTC or the start symbol of the 1st detected SSB (that could vary among UEs).  ssb-TimeOffset Indicates the time offset between the SSB from source and target satellite at the uplink time synchronization reference point. It is given in number of subframes.  Solution: Use “smtc SSB-MTC” to replace “ssb-TimeOffset-r18 INTEGER (0..159)”</w:t>
            </w:r>
          </w:p>
        </w:tc>
      </w:tr>
      <w:tr w:rsidR="00A1097C" w:rsidRPr="00CB4A1C" w14:paraId="03A86073" w14:textId="77777777" w:rsidTr="00E736AB">
        <w:trPr>
          <w:trHeight w:val="600"/>
        </w:trPr>
        <w:tc>
          <w:tcPr>
            <w:tcW w:w="988" w:type="dxa"/>
            <w:noWrap/>
            <w:hideMark/>
          </w:tcPr>
          <w:p w14:paraId="719FD81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O600</w:t>
            </w:r>
          </w:p>
        </w:tc>
        <w:tc>
          <w:tcPr>
            <w:tcW w:w="1263" w:type="dxa"/>
            <w:noWrap/>
            <w:hideMark/>
          </w:tcPr>
          <w:p w14:paraId="1C32833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OPPO (Haitao)</w:t>
            </w:r>
          </w:p>
        </w:tc>
        <w:tc>
          <w:tcPr>
            <w:tcW w:w="0" w:type="auto"/>
            <w:noWrap/>
            <w:hideMark/>
          </w:tcPr>
          <w:p w14:paraId="58DF9A2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152ADD6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287DB56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ToDo</w:t>
            </w:r>
          </w:p>
        </w:tc>
        <w:tc>
          <w:tcPr>
            <w:tcW w:w="0" w:type="auto"/>
            <w:hideMark/>
          </w:tcPr>
          <w:p w14:paraId="79A60916"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There are a few related contributions. To be discussed during the meeting.</w:t>
            </w:r>
          </w:p>
        </w:tc>
        <w:tc>
          <w:tcPr>
            <w:tcW w:w="0" w:type="auto"/>
            <w:hideMark/>
          </w:tcPr>
          <w:p w14:paraId="71B77FCF"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this is not correct for TN serving cell as there is no epoch time for a TN cell</w:t>
            </w:r>
          </w:p>
        </w:tc>
        <w:tc>
          <w:tcPr>
            <w:tcW w:w="0" w:type="auto"/>
            <w:hideMark/>
          </w:tcPr>
          <w:p w14:paraId="27AF1AE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change the field description to differentiate cases of the TN serving cell and NTN serving cell. We will bring a contribution on this.</w:t>
            </w:r>
          </w:p>
        </w:tc>
      </w:tr>
      <w:tr w:rsidR="00A1097C" w:rsidRPr="00CB4A1C" w14:paraId="171EE9D0" w14:textId="77777777" w:rsidTr="00E736AB">
        <w:trPr>
          <w:trHeight w:val="1800"/>
        </w:trPr>
        <w:tc>
          <w:tcPr>
            <w:tcW w:w="988" w:type="dxa"/>
            <w:noWrap/>
            <w:hideMark/>
          </w:tcPr>
          <w:p w14:paraId="6D88BC4B"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V500</w:t>
            </w:r>
          </w:p>
        </w:tc>
        <w:tc>
          <w:tcPr>
            <w:tcW w:w="1263" w:type="dxa"/>
            <w:noWrap/>
            <w:hideMark/>
          </w:tcPr>
          <w:p w14:paraId="31AC830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vivo-Stephen</w:t>
            </w:r>
          </w:p>
        </w:tc>
        <w:tc>
          <w:tcPr>
            <w:tcW w:w="0" w:type="auto"/>
            <w:noWrap/>
            <w:hideMark/>
          </w:tcPr>
          <w:p w14:paraId="422A9DA5"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NTN</w:t>
            </w:r>
          </w:p>
        </w:tc>
        <w:tc>
          <w:tcPr>
            <w:tcW w:w="0" w:type="auto"/>
            <w:noWrap/>
            <w:hideMark/>
          </w:tcPr>
          <w:p w14:paraId="77EEAC70"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1</w:t>
            </w:r>
          </w:p>
        </w:tc>
        <w:tc>
          <w:tcPr>
            <w:tcW w:w="0" w:type="auto"/>
            <w:shd w:val="clear" w:color="auto" w:fill="C5E0B3" w:themeFill="accent6" w:themeFillTint="66"/>
            <w:noWrap/>
            <w:hideMark/>
          </w:tcPr>
          <w:p w14:paraId="1A5A3B4D"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ToDo</w:t>
            </w:r>
          </w:p>
        </w:tc>
        <w:tc>
          <w:tcPr>
            <w:tcW w:w="0" w:type="auto"/>
            <w:hideMark/>
          </w:tcPr>
          <w:p w14:paraId="12A1C122"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There are related contributions and can be briefly discussed during the meeting. It can be discussed together with V501.</w:t>
            </w:r>
          </w:p>
        </w:tc>
        <w:tc>
          <w:tcPr>
            <w:tcW w:w="0" w:type="auto"/>
            <w:hideMark/>
          </w:tcPr>
          <w:p w14:paraId="627AE5C1"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When Uncahgned PCI is configured, there will be two epoch time value for the serving cell (one indicated via the Rel-17 field, while another via the Rel-18 field), it is not clear which one to be used.</w:t>
            </w:r>
          </w:p>
        </w:tc>
        <w:tc>
          <w:tcPr>
            <w:tcW w:w="0" w:type="auto"/>
            <w:hideMark/>
          </w:tcPr>
          <w:p w14:paraId="1FCD03FE" w14:textId="77777777" w:rsidR="00A1097C" w:rsidRPr="00CB4A1C" w:rsidRDefault="00A1097C" w:rsidP="00E736AB">
            <w:pPr>
              <w:rPr>
                <w:rFonts w:ascii="Arial" w:hAnsi="Arial" w:cs="Arial"/>
                <w:sz w:val="20"/>
                <w:szCs w:val="20"/>
                <w:lang w:eastAsia="ja-JP"/>
              </w:rPr>
            </w:pPr>
            <w:r w:rsidRPr="00CB4A1C">
              <w:rPr>
                <w:rFonts w:ascii="Arial" w:hAnsi="Arial" w:cs="Arial"/>
                <w:sz w:val="20"/>
                <w:szCs w:val="20"/>
                <w:lang w:eastAsia="ja-JP"/>
              </w:rPr>
              <w:t>Clarify that the UE uses the value from Rel-17 field before unchanged PCI and uses the value from Rel-18 field after unchanged PCI.</w:t>
            </w:r>
          </w:p>
        </w:tc>
      </w:tr>
    </w:tbl>
    <w:p w14:paraId="17FC8F6E" w14:textId="77777777" w:rsidR="00A1097C" w:rsidRDefault="00A1097C" w:rsidP="00A1097C">
      <w:pPr>
        <w:rPr>
          <w:lang w:val="en-GB" w:eastAsia="ja-JP"/>
        </w:rPr>
      </w:pPr>
    </w:p>
    <w:p w14:paraId="47D87A1B" w14:textId="77777777" w:rsidR="00A1097C" w:rsidRDefault="00A1097C" w:rsidP="00A1097C">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A1097C">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pPr>
    </w:p>
    <w:p w14:paraId="6EA7B1E6" w14:textId="77777777" w:rsidR="00035AC7" w:rsidRPr="00A1097C" w:rsidRDefault="00035AC7" w:rsidP="00A1097C">
      <w:pPr>
        <w:rPr>
          <w:lang w:eastAsia="zh-CN"/>
        </w:rPr>
      </w:pPr>
    </w:p>
    <w:sectPr w:rsidR="00035AC7" w:rsidRPr="00A1097C">
      <w:headerReference w:type="even" r:id="rId17"/>
      <w:headerReference w:type="default" r:id="rId18"/>
      <w:footerReference w:type="even" r:id="rId19"/>
      <w:footerReference w:type="default" r:id="rId20"/>
      <w:headerReference w:type="first" r:id="rId21"/>
      <w:footerReference w:type="first" r:id="rId22"/>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4006" w14:textId="77777777" w:rsidR="001F51CA" w:rsidRDefault="001F51CA" w:rsidP="00F8540B">
      <w:pPr>
        <w:spacing w:after="0" w:line="240" w:lineRule="auto"/>
      </w:pPr>
      <w:r>
        <w:separator/>
      </w:r>
    </w:p>
  </w:endnote>
  <w:endnote w:type="continuationSeparator" w:id="0">
    <w:p w14:paraId="05E0FA28" w14:textId="77777777" w:rsidR="001F51CA" w:rsidRDefault="001F51CA" w:rsidP="00F8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AFFC" w14:textId="77777777" w:rsidR="00A1097C" w:rsidRDefault="00A10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AA9BE" w14:textId="77777777" w:rsidR="00A1097C" w:rsidRDefault="00A109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DDD4" w14:textId="77777777" w:rsidR="00A1097C" w:rsidRDefault="00A109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351D" w14:textId="77777777" w:rsidR="00F8540B" w:rsidRDefault="00F854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F768" w14:textId="77777777" w:rsidR="00F8540B" w:rsidRDefault="00F854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8C0D" w14:textId="77777777" w:rsidR="00F8540B" w:rsidRDefault="00F85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55BA" w14:textId="77777777" w:rsidR="001F51CA" w:rsidRDefault="001F51CA" w:rsidP="00F8540B">
      <w:pPr>
        <w:spacing w:after="0" w:line="240" w:lineRule="auto"/>
      </w:pPr>
      <w:r>
        <w:separator/>
      </w:r>
    </w:p>
  </w:footnote>
  <w:footnote w:type="continuationSeparator" w:id="0">
    <w:p w14:paraId="1516559B" w14:textId="77777777" w:rsidR="001F51CA" w:rsidRDefault="001F51CA" w:rsidP="00F854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00F3" w14:textId="77777777" w:rsidR="00A1097C" w:rsidRDefault="00A10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824B3" w14:textId="77777777" w:rsidR="00A1097C" w:rsidRDefault="00A10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A925" w14:textId="77777777" w:rsidR="00A1097C" w:rsidRDefault="00A10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8C34" w14:textId="77777777" w:rsidR="00F8540B" w:rsidRDefault="00F854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1633" w14:textId="77777777" w:rsidR="00F8540B" w:rsidRDefault="00F854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42C7" w14:textId="77777777" w:rsidR="00F8540B" w:rsidRDefault="00F854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B95"/>
    <w:rsid w:val="00035AC7"/>
    <w:rsid w:val="00061ECD"/>
    <w:rsid w:val="000656A3"/>
    <w:rsid w:val="00097E09"/>
    <w:rsid w:val="001170CA"/>
    <w:rsid w:val="0013413D"/>
    <w:rsid w:val="001D6F54"/>
    <w:rsid w:val="001F51CA"/>
    <w:rsid w:val="00220528"/>
    <w:rsid w:val="00282441"/>
    <w:rsid w:val="002B586A"/>
    <w:rsid w:val="003140C2"/>
    <w:rsid w:val="00351F43"/>
    <w:rsid w:val="003B08E2"/>
    <w:rsid w:val="003D3C64"/>
    <w:rsid w:val="004037E9"/>
    <w:rsid w:val="00436306"/>
    <w:rsid w:val="004643D3"/>
    <w:rsid w:val="004F1ACC"/>
    <w:rsid w:val="005133B3"/>
    <w:rsid w:val="005553B0"/>
    <w:rsid w:val="005758D1"/>
    <w:rsid w:val="00672E4A"/>
    <w:rsid w:val="00705E81"/>
    <w:rsid w:val="00786D53"/>
    <w:rsid w:val="007B72AB"/>
    <w:rsid w:val="007D05D3"/>
    <w:rsid w:val="007D3DEC"/>
    <w:rsid w:val="00800787"/>
    <w:rsid w:val="00802BDC"/>
    <w:rsid w:val="00834306"/>
    <w:rsid w:val="0086414E"/>
    <w:rsid w:val="00930915"/>
    <w:rsid w:val="0095701A"/>
    <w:rsid w:val="00964137"/>
    <w:rsid w:val="00975A28"/>
    <w:rsid w:val="00980F0A"/>
    <w:rsid w:val="00A00A72"/>
    <w:rsid w:val="00A1097C"/>
    <w:rsid w:val="00A75F33"/>
    <w:rsid w:val="00B110EC"/>
    <w:rsid w:val="00BC5377"/>
    <w:rsid w:val="00C24A65"/>
    <w:rsid w:val="00C3346D"/>
    <w:rsid w:val="00C8297A"/>
    <w:rsid w:val="00C9605A"/>
    <w:rsid w:val="00D049FA"/>
    <w:rsid w:val="00D2002E"/>
    <w:rsid w:val="00D45375"/>
    <w:rsid w:val="00E71BC9"/>
    <w:rsid w:val="00E8403A"/>
    <w:rsid w:val="00EA1768"/>
    <w:rsid w:val="00F8540B"/>
    <w:rsid w:val="00FE6B95"/>
    <w:rsid w:val="00FF06C7"/>
    <w:rsid w:val="13E36AB9"/>
    <w:rsid w:val="5C0327A2"/>
    <w:rsid w:val="6A0E597A"/>
    <w:rsid w:val="73A2196A"/>
    <w:rsid w:val="7469325C"/>
    <w:rsid w:val="77255E0F"/>
    <w:rsid w:val="7CC32E48"/>
    <w:rsid w:val="7D16288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D98BE"/>
  <w15:docId w15:val="{7576D76E-3503-4E66-A872-71AFDDD8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HAnsi" w:hAnsiTheme="minorHAnsi" w:cstheme="minorBidi"/>
      <w:sz w:val="24"/>
      <w:szCs w:val="24"/>
      <w:lang w:val="zh-CN"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pPr>
  </w:style>
  <w:style w:type="paragraph" w:styleId="CommentText">
    <w:name w:val="annotation text"/>
    <w:basedOn w:val="Normal"/>
    <w:uiPriority w:val="99"/>
    <w:qFormat/>
    <w:rPr>
      <w:rFonts w:eastAsia="PMingLiU"/>
      <w:lang w:val="en-US" w:eastAsia="zh-TW"/>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List4">
    <w:name w:val="List 4"/>
    <w:basedOn w:val="Normal"/>
    <w:uiPriority w:val="99"/>
    <w:semiHidden/>
    <w:unhideWhenUsed/>
    <w:qFormat/>
    <w:pPr>
      <w:ind w:leftChars="600" w:left="100" w:hangingChars="200" w:hanging="20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u w:val="single"/>
    </w:rPr>
  </w:style>
  <w:style w:type="character" w:styleId="Hyperlink">
    <w:name w:val="Hyperlink"/>
    <w:basedOn w:val="DefaultParagraphFont"/>
    <w:uiPriority w:val="99"/>
    <w:semiHidden/>
    <w:unhideWhenUsed/>
    <w:qFormat/>
    <w:rPr>
      <w:color w:val="0563C1"/>
      <w:u w:val="single"/>
    </w:rPr>
  </w:style>
  <w:style w:type="character" w:styleId="CommentReference">
    <w:name w:val="annotation reference"/>
    <w:basedOn w:val="DefaultParagraphFont"/>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lang w:eastAsia="en-GB"/>
    </w:rPr>
  </w:style>
  <w:style w:type="paragraph" w:customStyle="1" w:styleId="xl63">
    <w:name w:val="xl63"/>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4">
    <w:name w:val="xl64"/>
    <w:basedOn w:val="Normal"/>
    <w:qFormat/>
    <w:pP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65">
    <w:name w:val="xl65"/>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6">
    <w:name w:val="xl66"/>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7">
    <w:name w:val="xl67"/>
    <w:basedOn w:val="Normal"/>
    <w:qFormat/>
    <w:pP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68">
    <w:name w:val="xl68"/>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9">
    <w:name w:val="xl69"/>
    <w:basedOn w:val="Normal"/>
    <w:qFormat/>
    <w:pPr>
      <w:spacing w:before="100" w:beforeAutospacing="1" w:after="100" w:afterAutospacing="1"/>
    </w:pPr>
    <w:rPr>
      <w:rFonts w:ascii="Times New Roman" w:eastAsia="Times New Roman" w:hAnsi="Times New Roman" w:cs="Times New Roman"/>
      <w:b/>
      <w:bCs/>
      <w:lang w:eastAsia="en-GB"/>
    </w:rPr>
  </w:style>
  <w:style w:type="paragraph" w:customStyle="1" w:styleId="xl70">
    <w:name w:val="xl70"/>
    <w:basedOn w:val="Normal"/>
    <w:qFormat/>
    <w:pPr>
      <w:pBdr>
        <w:top w:val="single" w:sz="4" w:space="0" w:color="D0CECE"/>
        <w:left w:val="single" w:sz="4" w:space="0" w:color="D0CECE"/>
        <w:bottom w:val="single" w:sz="4" w:space="0" w:color="D0CECE"/>
      </w:pBdr>
      <w:shd w:val="clear" w:color="000000" w:fill="E2EFDA"/>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1">
    <w:name w:val="xl71"/>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72">
    <w:name w:val="xl72"/>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3">
    <w:name w:val="xl73"/>
    <w:basedOn w:val="Normal"/>
    <w:qFormat/>
    <w:pPr>
      <w:pBdr>
        <w:top w:val="single" w:sz="4" w:space="0" w:color="D0CECE"/>
        <w:left w:val="single" w:sz="4" w:space="0" w:color="D0CECE"/>
        <w:bottom w:val="single" w:sz="4" w:space="0" w:color="D0CECE"/>
        <w:right w:val="single" w:sz="4" w:space="0" w:color="D0CECE"/>
      </w:pBdr>
      <w:shd w:val="clear" w:color="000000" w:fill="E2EFDA"/>
      <w:spacing w:before="100" w:beforeAutospacing="1" w:after="100" w:afterAutospacing="1"/>
      <w:textAlignment w:val="top"/>
    </w:pPr>
    <w:rPr>
      <w:rFonts w:ascii="Times New Roman" w:eastAsia="Times New Roman" w:hAnsi="Times New Roman" w:cs="Times New Roman"/>
      <w:lang w:eastAsia="en-GB"/>
    </w:rPr>
  </w:style>
  <w:style w:type="character" w:customStyle="1" w:styleId="B4Char">
    <w:name w:val="B4 Char"/>
    <w:basedOn w:val="DefaultParagraphFont"/>
    <w:link w:val="B4"/>
    <w:qFormat/>
    <w:rPr>
      <w:rFonts w:ascii="Times New Roman" w:eastAsia="Times New Roman" w:hAnsi="Times New Roman" w:cs="Times New Roman" w:hint="default"/>
      <w:lang w:val="en-US"/>
    </w:rPr>
  </w:style>
  <w:style w:type="paragraph" w:customStyle="1" w:styleId="B4">
    <w:name w:val="B4"/>
    <w:basedOn w:val="List4"/>
    <w:link w:val="B4Char"/>
    <w:qFormat/>
    <w:pPr>
      <w:overflowPunct w:val="0"/>
      <w:autoSpaceDE w:val="0"/>
      <w:autoSpaceDN w:val="0"/>
      <w:adjustRightInd w:val="0"/>
      <w:spacing w:after="180"/>
      <w:ind w:left="1418" w:hanging="284"/>
    </w:pPr>
    <w:rPr>
      <w:rFonts w:ascii="Times New Roman" w:eastAsia="Times New Roman" w:hAnsi="Times New Roman" w:cs="Times New Roman"/>
      <w:sz w:val="20"/>
      <w:szCs w:val="20"/>
      <w:lang w:val="en-US" w:eastAsia="zh-CN"/>
    </w:rPr>
  </w:style>
  <w:style w:type="paragraph" w:customStyle="1" w:styleId="B3">
    <w:name w:val="B3"/>
    <w:basedOn w:val="List3"/>
    <w:link w:val="B3Char2"/>
    <w:qFormat/>
    <w:pPr>
      <w:overflowPunct w:val="0"/>
      <w:autoSpaceDE w:val="0"/>
      <w:autoSpaceDN w:val="0"/>
      <w:adjustRightInd w:val="0"/>
      <w:spacing w:after="180"/>
      <w:ind w:left="1135" w:hanging="284"/>
    </w:pPr>
    <w:rPr>
      <w:rFonts w:ascii="Times New Roman" w:eastAsia="Times New Roman" w:hAnsi="Times New Roman" w:cs="Times New Roman"/>
      <w:sz w:val="20"/>
      <w:szCs w:val="20"/>
      <w:lang w:val="en-US" w:eastAsia="zh-CN"/>
    </w:rPr>
  </w:style>
  <w:style w:type="character" w:customStyle="1" w:styleId="B3Char2">
    <w:name w:val="B3 Char2"/>
    <w:basedOn w:val="DefaultParagraphFont"/>
    <w:link w:val="B3"/>
    <w:qFormat/>
    <w:rPr>
      <w:rFonts w:ascii="Times New Roman" w:eastAsia="Times New Roman" w:hAnsi="Times New Roman" w:cs="Times New Roman" w:hint="default"/>
      <w:lang w:val="en-US"/>
    </w:r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D3C64"/>
    <w:pPr>
      <w:spacing w:after="0" w:line="240" w:lineRule="auto"/>
    </w:pPr>
    <w:rPr>
      <w:rFonts w:asciiTheme="minorHAnsi" w:eastAsiaTheme="minorHAnsi" w:hAnsiTheme="minorHAnsi" w:cstheme="minorBidi"/>
      <w:sz w:val="24"/>
      <w:szCs w:val="24"/>
      <w:lang w:val="zh-CN" w:eastAsia="en-US"/>
    </w:rPr>
  </w:style>
  <w:style w:type="paragraph" w:styleId="Header">
    <w:name w:val="header"/>
    <w:basedOn w:val="Normal"/>
    <w:link w:val="HeaderChar"/>
    <w:uiPriority w:val="99"/>
    <w:unhideWhenUsed/>
    <w:rsid w:val="00F8540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F8540B"/>
    <w:rPr>
      <w:rFonts w:asciiTheme="minorHAnsi" w:eastAsiaTheme="minorHAnsi" w:hAnsiTheme="minorHAnsi" w:cstheme="minorBidi"/>
      <w:lang w:val="zh-CN" w:eastAsia="en-US"/>
    </w:rPr>
  </w:style>
  <w:style w:type="paragraph" w:styleId="Footer">
    <w:name w:val="footer"/>
    <w:basedOn w:val="Normal"/>
    <w:link w:val="FooterChar"/>
    <w:uiPriority w:val="99"/>
    <w:unhideWhenUsed/>
    <w:rsid w:val="00F8540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F8540B"/>
    <w:rPr>
      <w:rFonts w:asciiTheme="minorHAnsi" w:eastAsiaTheme="minorHAnsi" w:hAnsiTheme="minorHAnsi" w:cstheme="minorBidi"/>
      <w:lang w:val="zh-CN" w:eastAsia="en-US"/>
    </w:rPr>
  </w:style>
  <w:style w:type="paragraph" w:customStyle="1" w:styleId="CRCoverPage">
    <w:name w:val="CR Cover Page"/>
    <w:link w:val="CRCoverPageZchn"/>
    <w:qFormat/>
    <w:rsid w:val="00A1097C"/>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sid w:val="00A109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54566">
      <w:bodyDiv w:val="1"/>
      <w:marLeft w:val="0"/>
      <w:marRight w:val="0"/>
      <w:marTop w:val="0"/>
      <w:marBottom w:val="0"/>
      <w:divBdr>
        <w:top w:val="none" w:sz="0" w:space="0" w:color="auto"/>
        <w:left w:val="none" w:sz="0" w:space="0" w:color="auto"/>
        <w:bottom w:val="none" w:sz="0" w:space="0" w:color="auto"/>
        <w:right w:val="none" w:sz="0" w:space="0" w:color="auto"/>
      </w:divBdr>
    </w:div>
    <w:div w:id="855192644">
      <w:bodyDiv w:val="1"/>
      <w:marLeft w:val="0"/>
      <w:marRight w:val="0"/>
      <w:marTop w:val="0"/>
      <w:marBottom w:val="0"/>
      <w:divBdr>
        <w:top w:val="none" w:sz="0" w:space="0" w:color="auto"/>
        <w:left w:val="none" w:sz="0" w:space="0" w:color="auto"/>
        <w:bottom w:val="none" w:sz="0" w:space="0" w:color="auto"/>
        <w:right w:val="none" w:sz="0" w:space="0" w:color="auto"/>
      </w:divBdr>
    </w:div>
    <w:div w:id="1375546046">
      <w:bodyDiv w:val="1"/>
      <w:marLeft w:val="0"/>
      <w:marRight w:val="0"/>
      <w:marTop w:val="0"/>
      <w:marBottom w:val="0"/>
      <w:divBdr>
        <w:top w:val="none" w:sz="0" w:space="0" w:color="auto"/>
        <w:left w:val="none" w:sz="0" w:space="0" w:color="auto"/>
        <w:bottom w:val="none" w:sz="0" w:space="0" w:color="auto"/>
        <w:right w:val="none" w:sz="0" w:space="0" w:color="auto"/>
      </w:divBdr>
    </w:div>
    <w:div w:id="1515223712">
      <w:bodyDiv w:val="1"/>
      <w:marLeft w:val="0"/>
      <w:marRight w:val="0"/>
      <w:marTop w:val="0"/>
      <w:marBottom w:val="0"/>
      <w:divBdr>
        <w:top w:val="none" w:sz="0" w:space="0" w:color="auto"/>
        <w:left w:val="none" w:sz="0" w:space="0" w:color="auto"/>
        <w:bottom w:val="none" w:sz="0" w:space="0" w:color="auto"/>
        <w:right w:val="none" w:sz="0" w:space="0" w:color="auto"/>
      </w:divBdr>
    </w:div>
    <w:div w:id="169346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AA321-7117-4C7C-809B-E92CC4C29992}">
  <ds:schemaRefs>
    <ds:schemaRef ds:uri="http://schemas.microsoft.com/sharepoint/v3/contenttype/forms"/>
  </ds:schemaRefs>
</ds:datastoreItem>
</file>

<file path=customXml/itemProps2.xml><?xml version="1.0" encoding="utf-8"?>
<ds:datastoreItem xmlns:ds="http://schemas.openxmlformats.org/officeDocument/2006/customXml" ds:itemID="{6DA6071B-2439-4E6D-9F9A-90431C60289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0E6026-0C5C-4FB1-AC9B-2C9D2794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5A63F-7315-44DD-836C-700D346F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12</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 Ignacio</cp:lastModifiedBy>
  <cp:revision>53</cp:revision>
  <dcterms:created xsi:type="dcterms:W3CDTF">2024-02-06T12:35:00Z</dcterms:created>
  <dcterms:modified xsi:type="dcterms:W3CDTF">2024-04-11T10:20:00Z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8F7E309A779A454D86EDEBEAE1D6C37E</vt:lpwstr>
  </property>
  <property fmtid="{D5CDD505-2E9C-101B-9397-08002B2CF9AE}" pid="4" name="MSIP_Label_83bcef13-7cac-433f-ba1d-47a323951816_Enabled">
    <vt:lpwstr>true</vt:lpwstr>
  </property>
  <property fmtid="{D5CDD505-2E9C-101B-9397-08002B2CF9AE}" pid="5" name="MSIP_Label_83bcef13-7cac-433f-ba1d-47a323951816_SetDate">
    <vt:lpwstr>2024-02-09T02:43:59Z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47ff7a7d-a9e6-4348-9e89-6e422901a41c</vt:lpwstr>
  </property>
  <property fmtid="{D5CDD505-2E9C-101B-9397-08002B2CF9AE}" pid="10" name="MSIP_Label_83bcef13-7cac-433f-ba1d-47a323951816_ContentBits">
    <vt:lpwstr>0</vt:lpwstr>
  </property>
  <property fmtid="{D5CDD505-2E9C-101B-9397-08002B2CF9AE}" pid="11" name="ContentTypeId">
    <vt:lpwstr>0x010100F3E9551B3FDDA24EBF0A209BAAD637CA</vt:lpwstr>
  </property>
  <property fmtid="{D5CDD505-2E9C-101B-9397-08002B2CF9AE}" pid="12" name="MediaServiceImageTags">
    <vt:lpwstr/>
  </property>
</Properties>
</file>